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2F" w:rsidRPr="00C6662F" w:rsidRDefault="00C6662F" w:rsidP="00C666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6662F">
        <w:rPr>
          <w:rFonts w:ascii="Times New Roman" w:eastAsia="Times New Roman" w:hAnsi="Times New Roman" w:cs="Times New Roman"/>
          <w:b/>
          <w:bCs/>
          <w:sz w:val="27"/>
          <w:szCs w:val="27"/>
        </w:rPr>
        <w:t>Правила оформления списка использованной литературы</w:t>
      </w:r>
    </w:p>
    <w:p w:rsidR="00C6662F" w:rsidRPr="00C6662F" w:rsidRDefault="00C6662F" w:rsidP="00C6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62F">
        <w:rPr>
          <w:rFonts w:ascii="Times New Roman" w:eastAsia="Times New Roman" w:hAnsi="Times New Roman" w:cs="Times New Roman"/>
          <w:sz w:val="24"/>
          <w:szCs w:val="24"/>
        </w:rPr>
        <w:t>Обращаем Ваше внимание! С 01.07.2004 введен новый стандарт библиографического описания ГОСТ 7.1-2003 "Библиографическая запись. Библиографическое описание. Общие требования и правила составления". Этот стандарт заменяет ГОСТ 7.1-84 и вносит существенные изменения в правила библиографического описания книг и статей, используемых при составлении списков литературы для научного исследования.</w:t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ЗАМЕЧАНИЯ</w:t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  <w:t>Список использованной литературы должен быть выполнен в соответствии с ГОСТ 7.32.2001 "Система стандартов по информации, библиотечному и издательскому делу. Отчет о научно-исследовательской работе. Структура и правила оформления" и правилами библиографического описания документов ГОСТ 7.1-2003 "Библиографическая запись. Библиографическое описание".</w:t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  <w:t>Рекомендуется представлять единый список литературы к работе в целом. Список обязательно должен быть пронумерован. Каждый источник упоминается в списке один раз, вне зависимости от того, как часто на него делается ссылка в тексте работы.</w:t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  <w:t>Наиболее удобным является алфавитное расположение материала, так как в этом случае произведения собираются в авторских комплексах. Произведения одного автора расставляются в списке по алфавиту заглавий.</w:t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  <w:t xml:space="preserve">Официальные документы ставятся в начале списка в определенном порядке: </w:t>
      </w:r>
      <w:proofErr w:type="gramStart"/>
      <w:r w:rsidRPr="00C6662F">
        <w:rPr>
          <w:rFonts w:ascii="Times New Roman" w:eastAsia="Times New Roman" w:hAnsi="Times New Roman" w:cs="Times New Roman"/>
          <w:sz w:val="24"/>
          <w:szCs w:val="24"/>
        </w:rPr>
        <w:t>Конституции; Кодексы; Законы; Указы Президента; Постановление Правительства; другие нормативные акты (письма, приказы и т. д.).</w:t>
      </w:r>
      <w:proofErr w:type="gramEnd"/>
      <w:r w:rsidRPr="00C6662F">
        <w:rPr>
          <w:rFonts w:ascii="Times New Roman" w:eastAsia="Times New Roman" w:hAnsi="Times New Roman" w:cs="Times New Roman"/>
          <w:sz w:val="24"/>
          <w:szCs w:val="24"/>
        </w:rPr>
        <w:t xml:space="preserve"> Внутри каждой группы документы располагаются в хронологическом порядке.</w:t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  <w:t>Литература на иностранных языках ставится в конце списка после литературы на русском языке, образуя дополнительный алфавитный ряд.</w:t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6662F">
        <w:rPr>
          <w:rFonts w:ascii="Times New Roman" w:eastAsia="Times New Roman" w:hAnsi="Times New Roman" w:cs="Times New Roman"/>
          <w:sz w:val="24"/>
          <w:szCs w:val="24"/>
        </w:rPr>
        <w:t>Для каждого документа предусмотрены следующие элементы библиографической характеристики: фамилия автора, инициалы; название; подзаголовочные сведения (учебник, учебное пособие, словарь и т. д.); выходные сведения (место издания, издательство, год издания); количественная характеристика (общее количество страниц в книге).</w:t>
      </w:r>
      <w:proofErr w:type="gramEnd"/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ПРИМЕРЫ БИБЛИОГРАФИЧЕСКОГО ОФОРМЛЕНИЯ ВСЕХ ВИДОВ ПЕЧАТНЫХ ИЗДАНИЙ</w:t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b/>
          <w:bCs/>
          <w:sz w:val="24"/>
          <w:szCs w:val="24"/>
        </w:rPr>
        <w:t>Книги с одним автором</w:t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Атаманчук</w:t>
      </w:r>
      <w:proofErr w:type="spell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Г. В. Сущность государственной службы: История, теория, закон, практика / Г. В. </w:t>
      </w:r>
      <w:proofErr w:type="spell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Атаманчук</w:t>
      </w:r>
      <w:proofErr w:type="spell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. - М.: РАГС, 2003. - 268 с.</w:t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Игнатов, В. Г. Государственная служба субъектов РФ: Опыт сравнительно-правового анализа: </w:t>
      </w:r>
      <w:proofErr w:type="spell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науч</w:t>
      </w:r>
      <w:proofErr w:type="gram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.-</w:t>
      </w:r>
      <w:proofErr w:type="gram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</w:t>
      </w:r>
      <w:proofErr w:type="spell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. пособие / В. Г. Игнатов. - Ростов-на-Дону: СЗАГС, 2000. - 319 с.</w:t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b/>
          <w:bCs/>
          <w:sz w:val="24"/>
          <w:szCs w:val="24"/>
        </w:rPr>
        <w:t>Книги с двумя авторами</w:t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Ершов, А. Д. Информационное управление в таможенной системе / А. Д. Ершов, П. С. </w:t>
      </w:r>
      <w:proofErr w:type="spell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Конопаева</w:t>
      </w:r>
      <w:proofErr w:type="spell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. - СПб</w:t>
      </w:r>
      <w:proofErr w:type="gram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.: </w:t>
      </w:r>
      <w:proofErr w:type="gram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Знание, 2002. - 232 с.</w:t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Игнатов, В. Г. Профессиональная культура и профессионализм государственной службы: контекст истории и современность / В. Г. Игнатов, В. К. </w:t>
      </w:r>
      <w:proofErr w:type="spell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Белолипецкий</w:t>
      </w:r>
      <w:proofErr w:type="spell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- Ростов-на-Дону: </w:t>
      </w:r>
      <w:proofErr w:type="spell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МарТ</w:t>
      </w:r>
      <w:proofErr w:type="spell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, 2000. - 252 с.</w:t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Macroeconomics. A European Text. Michael Burda, Charles Wyplosz. Oxford University Press. </w:t>
      </w:r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1993. - 486 </w:t>
      </w:r>
      <w:proofErr w:type="spell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proofErr w:type="spell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b/>
          <w:bCs/>
          <w:sz w:val="24"/>
          <w:szCs w:val="24"/>
        </w:rPr>
        <w:t>Книги трех авторов</w:t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Кибанов</w:t>
      </w:r>
      <w:proofErr w:type="spell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, А. Я. Управление персоналом: регламентация труда: учеб</w:t>
      </w:r>
      <w:proofErr w:type="gram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proofErr w:type="gram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особие для вузов / А. Я. </w:t>
      </w:r>
      <w:proofErr w:type="spell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Кибанов</w:t>
      </w:r>
      <w:proofErr w:type="spell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Г. А. </w:t>
      </w:r>
      <w:proofErr w:type="spell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Мамед-Заде</w:t>
      </w:r>
      <w:proofErr w:type="spell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Т. А. </w:t>
      </w:r>
      <w:proofErr w:type="spell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Родкина</w:t>
      </w:r>
      <w:proofErr w:type="spell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- М.: Экзамен, 2000. - 575 </w:t>
      </w:r>
      <w:proofErr w:type="gram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Журавлев</w:t>
      </w:r>
      <w:proofErr w:type="gram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П. В. Мировой опыт в управлении персоналом: обзор зарубежных источников / П. В. Журавлев, М. Н. </w:t>
      </w:r>
      <w:proofErr w:type="spell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Кулапов</w:t>
      </w:r>
      <w:proofErr w:type="spell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С. А. Сухарев. - М.: Рос. </w:t>
      </w:r>
      <w:proofErr w:type="spell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Экон</w:t>
      </w:r>
      <w:proofErr w:type="spell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Акад.; Екатеринбург.: Деловая книга, 1998. - 232 </w:t>
      </w:r>
      <w:proofErr w:type="gram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Аяцков</w:t>
      </w:r>
      <w:proofErr w:type="gram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Д. Ф. Кадровый потенциал органов местного самоуправления: проблемы и опыт оценки / Д. Ф. Аяцков, С. Ю. Наумов, Е. Н. </w:t>
      </w:r>
      <w:proofErr w:type="spell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Суетенков</w:t>
      </w:r>
      <w:proofErr w:type="spell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; РАН при Президенте РФ. ПАГС. - Саратов: ПАГС, 2001. - 135 с.</w:t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b/>
          <w:bCs/>
          <w:sz w:val="24"/>
          <w:szCs w:val="24"/>
        </w:rPr>
        <w:t>Книги четырех авторов</w:t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Управленческая деятельность: структура, функции, навыки персонала / К. Д. </w:t>
      </w:r>
      <w:proofErr w:type="spell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Скрипник</w:t>
      </w:r>
      <w:proofErr w:type="spell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[и др.]. - М.: Приор, 1999. - 189 с.</w:t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Книги, описанные под заглавием</w:t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Управление персоналом: учеб</w:t>
      </w:r>
      <w:proofErr w:type="gram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proofErr w:type="gram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особие / С. И. Самыгин [и др.]; под ред. С. И. Самыгина. - Ростов-на-Дону: Феникс, 2001. - 511 с.</w:t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Управление персоналом: от фактов к возможностям будущего: учеб</w:t>
      </w:r>
      <w:proofErr w:type="gram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proofErr w:type="gram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особие / А. А. Брасс [и др.] - Минск: УП "</w:t>
      </w:r>
      <w:proofErr w:type="spell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Технопринт</w:t>
      </w:r>
      <w:proofErr w:type="spell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", 2002. - 387 с.</w:t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Словари и энциклопедии</w:t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Социальная философия: словарь / под общ</w:t>
      </w:r>
      <w:proofErr w:type="gram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р</w:t>
      </w:r>
      <w:proofErr w:type="gram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ед. В. Е. </w:t>
      </w:r>
      <w:proofErr w:type="spell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Кемерова</w:t>
      </w:r>
      <w:proofErr w:type="spell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Т. Х. Керимова. - М.: Академический Проект, 2003. - 588 </w:t>
      </w:r>
      <w:proofErr w:type="gram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Ожегов</w:t>
      </w:r>
      <w:proofErr w:type="gram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С. И. Толковый словарь русского языка / С. И. Ожегов, Н. Ю. Шведова. - М.: Азбуковник, 2000. - 940 </w:t>
      </w:r>
      <w:proofErr w:type="gram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Чернышев</w:t>
      </w:r>
      <w:proofErr w:type="gram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В. Н. Подготовка персонала: словарь / В. Н. Чернышев, А. П. </w:t>
      </w:r>
      <w:proofErr w:type="spell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Двинин</w:t>
      </w:r>
      <w:proofErr w:type="spell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- СПб.: </w:t>
      </w:r>
      <w:proofErr w:type="spell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Энергоатомиздад</w:t>
      </w:r>
      <w:proofErr w:type="spell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2000. - 143 </w:t>
      </w:r>
      <w:proofErr w:type="gram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Экономическая</w:t>
      </w:r>
      <w:proofErr w:type="gram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энциклопедия / Е. И. Александрова [и др.]. - М.: Экономика, 1999. - 1055 </w:t>
      </w:r>
      <w:proofErr w:type="gram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Статьи из сборников</w:t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Бакаева, О. Ю. Таможенные органы Российской Федерации как субъекты таможенного права / О. Ю. Бакаева, Г. В. Матвиенко // Таможенное право. - М.: Юрист, 2003. - С. 51-</w:t>
      </w:r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91</w:t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Веснин, В. Р. Конфликты в системе управления персоналом / В. Р. Веснин // Практический менеджмент персонала. - М.: Юрист, 1998. - С. 395-414</w:t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Проблемы регионального реформирования // Экономические реформы / под ред. А. Е. </w:t>
      </w:r>
      <w:proofErr w:type="spell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Когут</w:t>
      </w:r>
      <w:proofErr w:type="spell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. - СПб</w:t>
      </w:r>
      <w:proofErr w:type="gram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.: </w:t>
      </w:r>
      <w:proofErr w:type="gram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Наука, 1993. - С. 79-82</w:t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Статьи из газет и журналов</w:t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Арсланов, Г. Реформы в Китае: Смена поколений / Г. Арсланов // Азия и Африка сегодня. - 2002. - N 4. - С. 2-6</w:t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Козырев, Г. И. Конфликты в организации / Г. И. Козырев // Социально-гуманитарные знания. - 2001. - N 2. - С. 136-150</w:t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Громов, В. Россия и Европа / В. Громов // Известия. - 1999. - 2 марта. - С. 2</w:t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Hahn</w:t>
      </w:r>
      <w:proofErr w:type="spell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Frank</w:t>
      </w:r>
      <w:proofErr w:type="spell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Next</w:t>
      </w:r>
      <w:proofErr w:type="spell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Hundred</w:t>
      </w:r>
      <w:proofErr w:type="spell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Years</w:t>
      </w:r>
      <w:proofErr w:type="spell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Economic</w:t>
      </w:r>
      <w:proofErr w:type="spell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January</w:t>
      </w:r>
      <w:proofErr w:type="spell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1991, 101 (404) - </w:t>
      </w:r>
      <w:proofErr w:type="spell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pp</w:t>
      </w:r>
      <w:proofErr w:type="spell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. 47-50.</w:t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Описания официальных документов</w:t>
      </w:r>
      <w:proofErr w:type="gramStart"/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proofErr w:type="gram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базовой стоимости социального набора: Федеральный Закон от 4 февраля 1999 N 21-ФЗ // </w:t>
      </w:r>
      <w:proofErr w:type="gram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Российская</w:t>
      </w:r>
      <w:proofErr w:type="gram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газ. - 1999. - 11.02. - С. 4</w:t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О правительственной комиссии по проведению административной реформы: Постановление Правительства РФ от 31 июля 2003 N 451 // Собрание законодательства РФ. - 2003. - N 31. - Ст. 3150</w:t>
      </w:r>
      <w:proofErr w:type="gramStart"/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proofErr w:type="gram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мерах по развитию федеральных отношений и местного самоуправления в Российской Федерации: Указ Президента РФ от 27 ноября 2003 N 1395 // Собрание законодательства РФ. - 2003. - Ст. 4660</w:t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</w:t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Statsoft</w:t>
      </w:r>
      <w:proofErr w:type="spell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Inc</w:t>
      </w:r>
      <w:proofErr w:type="spell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.(1999). Электронный учебник по статистике. Москва, </w:t>
      </w:r>
      <w:proofErr w:type="spell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Statsoft</w:t>
      </w:r>
      <w:proofErr w:type="spell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Web</w:t>
      </w:r>
      <w:proofErr w:type="spell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: http://www.statsoft.ru/home/textbook.</w:t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sz w:val="24"/>
          <w:szCs w:val="24"/>
        </w:rPr>
        <w:br/>
      </w:r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Художественная энциклопедия зарубежного классического искусства. - Электрон. текстовые, граф., </w:t>
      </w:r>
      <w:proofErr w:type="spell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зв</w:t>
      </w:r>
      <w:proofErr w:type="spell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. дан</w:t>
      </w:r>
      <w:proofErr w:type="gram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proofErr w:type="gram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прикладная </w:t>
      </w:r>
      <w:proofErr w:type="spell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прогр</w:t>
      </w:r>
      <w:proofErr w:type="spell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. (546 Мб). - М.: Большая Рос</w:t>
      </w:r>
      <w:proofErr w:type="gram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э</w:t>
      </w:r>
      <w:proofErr w:type="gram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нцикл</w:t>
      </w:r>
      <w:proofErr w:type="spell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[и др.], 1996. - 1 электрон. опт. диск (CD-ROM): </w:t>
      </w:r>
      <w:proofErr w:type="spell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зв</w:t>
      </w:r>
      <w:proofErr w:type="spell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., </w:t>
      </w:r>
      <w:proofErr w:type="spell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цв</w:t>
      </w:r>
      <w:proofErr w:type="spell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.; 12 см + рук. пользователя (1 л.) + открытка (1 л.). - (Интерактивный мир). - Систем</w:t>
      </w:r>
      <w:proofErr w:type="gram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proofErr w:type="gram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ребования: ПК 486 или выше; 8 Мб ОЗУ; </w:t>
      </w:r>
      <w:proofErr w:type="spell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Windows</w:t>
      </w:r>
      <w:proofErr w:type="spell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95 или выше; SVGA 32768 и более </w:t>
      </w:r>
      <w:proofErr w:type="spell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цв</w:t>
      </w:r>
      <w:proofErr w:type="spell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.; 640х480; 4х CD-ROM дисковод; 16-бит. </w:t>
      </w:r>
      <w:proofErr w:type="spell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зв</w:t>
      </w:r>
      <w:proofErr w:type="spell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карта; мышь. - </w:t>
      </w:r>
      <w:proofErr w:type="spell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Загл</w:t>
      </w:r>
      <w:proofErr w:type="spell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с экрана. - Диск и </w:t>
      </w:r>
      <w:proofErr w:type="spellStart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сопровод</w:t>
      </w:r>
      <w:proofErr w:type="spellEnd"/>
      <w:r w:rsidRPr="00C6662F">
        <w:rPr>
          <w:rFonts w:ascii="Times New Roman" w:eastAsia="Times New Roman" w:hAnsi="Times New Roman" w:cs="Times New Roman"/>
          <w:i/>
          <w:iCs/>
          <w:sz w:val="24"/>
          <w:szCs w:val="24"/>
        </w:rPr>
        <w:t>. материал помещены в контейнер 20х14 см.</w:t>
      </w:r>
    </w:p>
    <w:p w:rsidR="00DD18BE" w:rsidRDefault="00DD18BE"/>
    <w:sectPr w:rsidR="00DD1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662F"/>
    <w:rsid w:val="00C6662F"/>
    <w:rsid w:val="00DD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66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662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lign-justify">
    <w:name w:val="align-justify"/>
    <w:basedOn w:val="a"/>
    <w:rsid w:val="00C6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6662F"/>
    <w:rPr>
      <w:b/>
      <w:bCs/>
    </w:rPr>
  </w:style>
  <w:style w:type="character" w:styleId="a4">
    <w:name w:val="Emphasis"/>
    <w:basedOn w:val="a0"/>
    <w:uiPriority w:val="20"/>
    <w:qFormat/>
    <w:rsid w:val="00C666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953</Words>
  <Characters>5434</Characters>
  <Application>Microsoft Office Word</Application>
  <DocSecurity>0</DocSecurity>
  <Lines>45</Lines>
  <Paragraphs>12</Paragraphs>
  <ScaleCrop>false</ScaleCrop>
  <Company>ГОШИОР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2014-10-02T07:52:00Z</dcterms:created>
  <dcterms:modified xsi:type="dcterms:W3CDTF">2014-10-02T07:52:00Z</dcterms:modified>
</cp:coreProperties>
</file>